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125" w:rsidRPr="000E6D3F" w:rsidRDefault="005A7125" w:rsidP="00D03D31">
      <w:pPr>
        <w:autoSpaceDE w:val="0"/>
        <w:autoSpaceDN w:val="0"/>
        <w:adjustRightInd w:val="0"/>
        <w:spacing w:after="0" w:line="240" w:lineRule="auto"/>
        <w:ind w:left="-720" w:right="-1080"/>
        <w:jc w:val="center"/>
        <w:rPr>
          <w:rFonts w:ascii="Times New Roman" w:hAnsi="Times New Roman" w:cs="Times New Roman"/>
          <w:color w:val="000000"/>
          <w:sz w:val="19"/>
          <w:szCs w:val="19"/>
        </w:rPr>
      </w:pPr>
      <w:bookmarkStart w:id="0" w:name="_GoBack"/>
      <w:bookmarkEnd w:id="0"/>
      <w:r w:rsidRPr="000E6D3F">
        <w:rPr>
          <w:rFonts w:ascii="Times New Roman" w:hAnsi="Times New Roman" w:cs="Times New Roman"/>
          <w:sz w:val="19"/>
          <w:szCs w:val="19"/>
        </w:rPr>
        <w:t xml:space="preserve"> </w:t>
      </w:r>
      <w:r w:rsidRPr="000E6D3F">
        <w:rPr>
          <w:rFonts w:ascii="Times New Roman" w:hAnsi="Times New Roman" w:cs="Times New Roman"/>
          <w:b/>
          <w:bCs/>
          <w:color w:val="000000"/>
          <w:sz w:val="19"/>
          <w:szCs w:val="19"/>
        </w:rPr>
        <w:t xml:space="preserve">Euvax B Pediatric, suspensie injectabilă, 10 μg/0,5ml </w:t>
      </w:r>
    </w:p>
    <w:p w:rsidR="005A7125" w:rsidRPr="000E6D3F" w:rsidRDefault="005A7125" w:rsidP="00D03D31">
      <w:pPr>
        <w:autoSpaceDE w:val="0"/>
        <w:autoSpaceDN w:val="0"/>
        <w:adjustRightInd w:val="0"/>
        <w:spacing w:after="0" w:line="240" w:lineRule="auto"/>
        <w:ind w:left="-720" w:right="-1080"/>
        <w:jc w:val="center"/>
        <w:rPr>
          <w:rFonts w:ascii="Times New Roman" w:hAnsi="Times New Roman" w:cs="Times New Roman"/>
          <w:color w:val="000000"/>
          <w:sz w:val="19"/>
          <w:szCs w:val="19"/>
        </w:rPr>
      </w:pPr>
      <w:r w:rsidRPr="000E6D3F">
        <w:rPr>
          <w:rFonts w:ascii="Times New Roman" w:hAnsi="Times New Roman" w:cs="Times New Roman"/>
          <w:color w:val="000000"/>
          <w:sz w:val="19"/>
          <w:szCs w:val="19"/>
        </w:rPr>
        <w:t xml:space="preserve">Vaccin hepatitic B recombinant </w:t>
      </w:r>
    </w:p>
    <w:p w:rsidR="005A7125" w:rsidRPr="000E6D3F" w:rsidRDefault="005A7125" w:rsidP="00D03D31">
      <w:pPr>
        <w:autoSpaceDE w:val="0"/>
        <w:autoSpaceDN w:val="0"/>
        <w:adjustRightInd w:val="0"/>
        <w:spacing w:after="0" w:line="240" w:lineRule="auto"/>
        <w:ind w:left="-720" w:right="-900"/>
        <w:jc w:val="both"/>
        <w:rPr>
          <w:rFonts w:ascii="Times New Roman" w:hAnsi="Times New Roman" w:cs="Times New Roman"/>
          <w:color w:val="000000"/>
          <w:sz w:val="19"/>
          <w:szCs w:val="19"/>
        </w:rPr>
      </w:pPr>
    </w:p>
    <w:p w:rsidR="005A7125" w:rsidRPr="000E6D3F" w:rsidRDefault="005A7125" w:rsidP="00D03D31">
      <w:pPr>
        <w:autoSpaceDE w:val="0"/>
        <w:autoSpaceDN w:val="0"/>
        <w:adjustRightInd w:val="0"/>
        <w:spacing w:after="0" w:line="240" w:lineRule="auto"/>
        <w:ind w:left="-720" w:right="-900"/>
        <w:jc w:val="both"/>
        <w:rPr>
          <w:rFonts w:ascii="Times New Roman" w:hAnsi="Times New Roman" w:cs="Times New Roman"/>
          <w:color w:val="000000"/>
          <w:sz w:val="19"/>
          <w:szCs w:val="19"/>
        </w:rPr>
      </w:pPr>
      <w:r w:rsidRPr="000E6D3F">
        <w:rPr>
          <w:rFonts w:ascii="Times New Roman" w:hAnsi="Times New Roman" w:cs="Times New Roman"/>
          <w:color w:val="000000"/>
          <w:sz w:val="19"/>
          <w:szCs w:val="19"/>
        </w:rPr>
        <w:t xml:space="preserve">Euvax B este un vaccin înalt purificat cu particule neinfecţioase din antigenul de suprafaţă al virusului hepatitic B (AgHBs) adsorbit pe săruri de aluminiu ca adjuvant. Este un vaccin obţinut prin tehnologie ADN recombinantă din culturi celulare pe levuri de </w:t>
      </w:r>
      <w:r w:rsidRPr="000E6D3F">
        <w:rPr>
          <w:rFonts w:ascii="Times New Roman" w:hAnsi="Times New Roman" w:cs="Times New Roman"/>
          <w:i/>
          <w:iCs/>
          <w:color w:val="000000"/>
          <w:sz w:val="19"/>
          <w:szCs w:val="19"/>
        </w:rPr>
        <w:t xml:space="preserve">Saccharomyces cerevisiae. </w:t>
      </w:r>
    </w:p>
    <w:p w:rsidR="005A7125" w:rsidRPr="000E6D3F" w:rsidRDefault="005A7125" w:rsidP="00D03D31">
      <w:pPr>
        <w:autoSpaceDE w:val="0"/>
        <w:autoSpaceDN w:val="0"/>
        <w:adjustRightInd w:val="0"/>
        <w:spacing w:after="0" w:line="240" w:lineRule="auto"/>
        <w:ind w:left="-720" w:right="-900"/>
        <w:jc w:val="both"/>
        <w:rPr>
          <w:rFonts w:ascii="Times New Roman" w:hAnsi="Times New Roman" w:cs="Times New Roman"/>
          <w:color w:val="000000"/>
          <w:sz w:val="19"/>
          <w:szCs w:val="19"/>
        </w:rPr>
      </w:pPr>
      <w:r w:rsidRPr="000E6D3F">
        <w:rPr>
          <w:rFonts w:ascii="Times New Roman" w:hAnsi="Times New Roman" w:cs="Times New Roman"/>
          <w:color w:val="000000"/>
          <w:sz w:val="19"/>
          <w:szCs w:val="19"/>
        </w:rPr>
        <w:t xml:space="preserve">Vaccinul îndeplineşte recomandările OMS pentru vaccinuri hepatitice B recombinante. </w:t>
      </w:r>
    </w:p>
    <w:p w:rsidR="005A7125" w:rsidRPr="000E6D3F" w:rsidRDefault="005A7125" w:rsidP="00D03D31">
      <w:pPr>
        <w:autoSpaceDE w:val="0"/>
        <w:autoSpaceDN w:val="0"/>
        <w:adjustRightInd w:val="0"/>
        <w:spacing w:after="0" w:line="240" w:lineRule="auto"/>
        <w:ind w:left="-720" w:right="-900"/>
        <w:jc w:val="both"/>
        <w:rPr>
          <w:rFonts w:ascii="Times New Roman" w:hAnsi="Times New Roman" w:cs="Times New Roman"/>
          <w:color w:val="000000"/>
          <w:sz w:val="19"/>
          <w:szCs w:val="19"/>
        </w:rPr>
      </w:pPr>
      <w:r w:rsidRPr="000E6D3F">
        <w:rPr>
          <w:rFonts w:ascii="Times New Roman" w:hAnsi="Times New Roman" w:cs="Times New Roman"/>
          <w:color w:val="000000"/>
          <w:sz w:val="19"/>
          <w:szCs w:val="19"/>
        </w:rPr>
        <w:t xml:space="preserve">Nu s-au folosit substanţe de origine umană pentru producerea lui. </w:t>
      </w:r>
    </w:p>
    <w:p w:rsidR="00D03D31" w:rsidRPr="000E6D3F" w:rsidRDefault="00D03D31" w:rsidP="00D03D31">
      <w:pPr>
        <w:autoSpaceDE w:val="0"/>
        <w:autoSpaceDN w:val="0"/>
        <w:adjustRightInd w:val="0"/>
        <w:spacing w:after="0" w:line="240" w:lineRule="auto"/>
        <w:ind w:left="-720" w:right="-900"/>
        <w:jc w:val="both"/>
        <w:rPr>
          <w:rFonts w:ascii="Times New Roman" w:hAnsi="Times New Roman" w:cs="Times New Roman"/>
          <w:b/>
          <w:bCs/>
          <w:color w:val="000000"/>
          <w:sz w:val="19"/>
          <w:szCs w:val="19"/>
        </w:rPr>
      </w:pPr>
    </w:p>
    <w:p w:rsidR="005A7125" w:rsidRPr="000E6D3F" w:rsidRDefault="005A7125" w:rsidP="00D03D31">
      <w:pPr>
        <w:autoSpaceDE w:val="0"/>
        <w:autoSpaceDN w:val="0"/>
        <w:adjustRightInd w:val="0"/>
        <w:spacing w:after="0" w:line="240" w:lineRule="auto"/>
        <w:ind w:left="-720" w:right="-900"/>
        <w:jc w:val="both"/>
        <w:rPr>
          <w:rFonts w:ascii="Times New Roman" w:hAnsi="Times New Roman" w:cs="Times New Roman"/>
          <w:color w:val="000000"/>
          <w:sz w:val="19"/>
          <w:szCs w:val="19"/>
        </w:rPr>
      </w:pPr>
      <w:r w:rsidRPr="000E6D3F">
        <w:rPr>
          <w:rFonts w:ascii="Times New Roman" w:hAnsi="Times New Roman" w:cs="Times New Roman"/>
          <w:b/>
          <w:bCs/>
          <w:color w:val="000000"/>
          <w:sz w:val="19"/>
          <w:szCs w:val="19"/>
        </w:rPr>
        <w:t xml:space="preserve">Compoziţie: </w:t>
      </w:r>
      <w:r w:rsidRPr="000E6D3F">
        <w:rPr>
          <w:rFonts w:ascii="Times New Roman" w:hAnsi="Times New Roman" w:cs="Times New Roman"/>
          <w:color w:val="000000"/>
          <w:sz w:val="19"/>
          <w:szCs w:val="19"/>
        </w:rPr>
        <w:t xml:space="preserve">0,5 ml (o doză) Euvax B Pediatric conţine antigen de suprafaţă al virusului hepatitic B (AgHBs) purificat 10 micrograme şi excipienţi: hidroxid de aluminiu gel, fosfat de potasiu monobazic, fosfat de sodiu dibazic, clorură de sodiu, apă pentru preparate injectabile. </w:t>
      </w:r>
    </w:p>
    <w:p w:rsidR="005A7125" w:rsidRPr="000E6D3F" w:rsidRDefault="005A7125" w:rsidP="00D03D31">
      <w:pPr>
        <w:autoSpaceDE w:val="0"/>
        <w:autoSpaceDN w:val="0"/>
        <w:adjustRightInd w:val="0"/>
        <w:spacing w:after="0" w:line="240" w:lineRule="auto"/>
        <w:ind w:left="-720" w:right="-900"/>
        <w:jc w:val="both"/>
        <w:rPr>
          <w:rFonts w:ascii="Times New Roman" w:hAnsi="Times New Roman" w:cs="Times New Roman"/>
          <w:color w:val="000000"/>
          <w:sz w:val="19"/>
          <w:szCs w:val="19"/>
        </w:rPr>
      </w:pPr>
      <w:r w:rsidRPr="000E6D3F">
        <w:rPr>
          <w:rFonts w:ascii="Times New Roman" w:hAnsi="Times New Roman" w:cs="Times New Roman"/>
          <w:b/>
          <w:bCs/>
          <w:color w:val="000000"/>
          <w:sz w:val="19"/>
          <w:szCs w:val="19"/>
        </w:rPr>
        <w:t>Grupa farmacoterapeutică</w:t>
      </w:r>
      <w:r w:rsidRPr="000E6D3F">
        <w:rPr>
          <w:rFonts w:ascii="Times New Roman" w:hAnsi="Times New Roman" w:cs="Times New Roman"/>
          <w:color w:val="000000"/>
          <w:sz w:val="19"/>
          <w:szCs w:val="19"/>
        </w:rPr>
        <w:t xml:space="preserve">: vaccin hepatitic B. </w:t>
      </w:r>
    </w:p>
    <w:p w:rsidR="005A7125" w:rsidRPr="000E6D3F" w:rsidRDefault="005A7125" w:rsidP="00D03D31">
      <w:pPr>
        <w:autoSpaceDE w:val="0"/>
        <w:autoSpaceDN w:val="0"/>
        <w:adjustRightInd w:val="0"/>
        <w:spacing w:after="0" w:line="240" w:lineRule="auto"/>
        <w:ind w:left="-720" w:right="-900"/>
        <w:jc w:val="both"/>
        <w:rPr>
          <w:rFonts w:ascii="Times New Roman" w:hAnsi="Times New Roman" w:cs="Times New Roman"/>
          <w:color w:val="000000"/>
          <w:sz w:val="19"/>
          <w:szCs w:val="19"/>
        </w:rPr>
      </w:pPr>
      <w:r w:rsidRPr="000E6D3F">
        <w:rPr>
          <w:rFonts w:ascii="Times New Roman" w:hAnsi="Times New Roman" w:cs="Times New Roman"/>
          <w:b/>
          <w:bCs/>
          <w:color w:val="000000"/>
          <w:sz w:val="19"/>
          <w:szCs w:val="19"/>
        </w:rPr>
        <w:t xml:space="preserve">Indicaţii terapeutice: </w:t>
      </w:r>
      <w:r w:rsidRPr="000E6D3F">
        <w:rPr>
          <w:rFonts w:ascii="Times New Roman" w:hAnsi="Times New Roman" w:cs="Times New Roman"/>
          <w:color w:val="000000"/>
          <w:sz w:val="19"/>
          <w:szCs w:val="19"/>
        </w:rPr>
        <w:t xml:space="preserve">Imunizare împotriva infecţiei determinate de subtipurile cunoscute ale virusului hepatitic B. </w:t>
      </w:r>
    </w:p>
    <w:p w:rsidR="005A7125" w:rsidRPr="000E6D3F" w:rsidRDefault="005A7125" w:rsidP="00D03D31">
      <w:pPr>
        <w:autoSpaceDE w:val="0"/>
        <w:autoSpaceDN w:val="0"/>
        <w:adjustRightInd w:val="0"/>
        <w:spacing w:after="0" w:line="240" w:lineRule="auto"/>
        <w:ind w:left="-720" w:right="-900"/>
        <w:jc w:val="both"/>
        <w:rPr>
          <w:rFonts w:ascii="Times New Roman" w:hAnsi="Times New Roman" w:cs="Times New Roman"/>
          <w:color w:val="000000"/>
          <w:sz w:val="19"/>
          <w:szCs w:val="19"/>
        </w:rPr>
      </w:pPr>
      <w:r w:rsidRPr="000E6D3F">
        <w:rPr>
          <w:rFonts w:ascii="Times New Roman" w:hAnsi="Times New Roman" w:cs="Times New Roman"/>
          <w:b/>
          <w:bCs/>
          <w:color w:val="000000"/>
          <w:sz w:val="19"/>
          <w:szCs w:val="19"/>
        </w:rPr>
        <w:t xml:space="preserve">Contraindicaţii: </w:t>
      </w:r>
      <w:r w:rsidRPr="000E6D3F">
        <w:rPr>
          <w:rFonts w:ascii="Times New Roman" w:hAnsi="Times New Roman" w:cs="Times New Roman"/>
          <w:color w:val="000000"/>
          <w:sz w:val="19"/>
          <w:szCs w:val="19"/>
        </w:rPr>
        <w:t xml:space="preserve">Hipersensibilitate la oricare dintre componentele Euvax B Pediatric. </w:t>
      </w:r>
    </w:p>
    <w:p w:rsidR="005A7125" w:rsidRPr="000E6D3F" w:rsidRDefault="005A7125" w:rsidP="00D03D31">
      <w:pPr>
        <w:autoSpaceDE w:val="0"/>
        <w:autoSpaceDN w:val="0"/>
        <w:adjustRightInd w:val="0"/>
        <w:spacing w:after="0" w:line="240" w:lineRule="auto"/>
        <w:ind w:left="-720" w:right="-900"/>
        <w:jc w:val="both"/>
        <w:rPr>
          <w:rFonts w:ascii="Times New Roman" w:hAnsi="Times New Roman" w:cs="Times New Roman"/>
          <w:color w:val="000000"/>
          <w:sz w:val="19"/>
          <w:szCs w:val="19"/>
        </w:rPr>
      </w:pPr>
      <w:r w:rsidRPr="000E6D3F">
        <w:rPr>
          <w:rFonts w:ascii="Times New Roman" w:hAnsi="Times New Roman" w:cs="Times New Roman"/>
          <w:b/>
          <w:bCs/>
          <w:color w:val="000000"/>
          <w:sz w:val="19"/>
          <w:szCs w:val="19"/>
        </w:rPr>
        <w:t xml:space="preserve">Precauţii : </w:t>
      </w:r>
      <w:r w:rsidRPr="000E6D3F">
        <w:rPr>
          <w:rFonts w:ascii="Times New Roman" w:hAnsi="Times New Roman" w:cs="Times New Roman"/>
          <w:color w:val="000000"/>
          <w:sz w:val="19"/>
          <w:szCs w:val="19"/>
        </w:rPr>
        <w:t xml:space="preserve">La fel ca în cazul oricăror vaccinuri injectabile, trebuie să fie disponibil permanent tratament medical adecvat, pentru situaţia apariţiei - în cazuri rare, de reacţii anafilactice ca urmare a administrării vaccinului.  A se agita înainte de administrare, deoarece pe durata păstrării, se poate forma un depozit alb fin, cu un supernatant incolor, limpede. </w:t>
      </w:r>
    </w:p>
    <w:p w:rsidR="005A7125" w:rsidRPr="000E6D3F" w:rsidRDefault="005A7125" w:rsidP="00D03D31">
      <w:pPr>
        <w:autoSpaceDE w:val="0"/>
        <w:autoSpaceDN w:val="0"/>
        <w:adjustRightInd w:val="0"/>
        <w:spacing w:after="0" w:line="240" w:lineRule="auto"/>
        <w:ind w:left="-720" w:right="-900"/>
        <w:jc w:val="both"/>
        <w:rPr>
          <w:rFonts w:ascii="Times New Roman" w:hAnsi="Times New Roman" w:cs="Times New Roman"/>
          <w:color w:val="000000"/>
          <w:sz w:val="19"/>
          <w:szCs w:val="19"/>
        </w:rPr>
      </w:pPr>
      <w:r w:rsidRPr="000E6D3F">
        <w:rPr>
          <w:rFonts w:ascii="Times New Roman" w:hAnsi="Times New Roman" w:cs="Times New Roman"/>
          <w:color w:val="000000"/>
          <w:sz w:val="19"/>
          <w:szCs w:val="19"/>
        </w:rPr>
        <w:t>Euvax B nu trebuie administrat în regiunea gluteală (fesieră) şi nu trebuie administrat intravenos.</w:t>
      </w:r>
    </w:p>
    <w:p w:rsidR="005A7125" w:rsidRPr="000E6D3F" w:rsidRDefault="005A7125" w:rsidP="00D03D31">
      <w:pPr>
        <w:autoSpaceDE w:val="0"/>
        <w:autoSpaceDN w:val="0"/>
        <w:adjustRightInd w:val="0"/>
        <w:spacing w:after="0" w:line="240" w:lineRule="auto"/>
        <w:ind w:left="-720" w:right="-900"/>
        <w:jc w:val="both"/>
        <w:rPr>
          <w:rFonts w:ascii="Times New Roman" w:hAnsi="Times New Roman" w:cs="Times New Roman"/>
          <w:bCs/>
          <w:color w:val="000000"/>
          <w:sz w:val="19"/>
          <w:szCs w:val="19"/>
        </w:rPr>
      </w:pPr>
      <w:r w:rsidRPr="000E6D3F">
        <w:rPr>
          <w:rFonts w:ascii="Times New Roman" w:hAnsi="Times New Roman" w:cs="Times New Roman"/>
          <w:bCs/>
          <w:color w:val="000000"/>
          <w:sz w:val="19"/>
          <w:szCs w:val="19"/>
        </w:rPr>
        <w:t>Tiomersalul (un compus organomercuric) a fost utilizat în procesul de fabricație al acestui produs și reziduuri sunt prezente în produsul finit. Prin urmare, pot să apară reacții de sensibilizare.</w:t>
      </w:r>
    </w:p>
    <w:p w:rsidR="005A7125" w:rsidRPr="000E6D3F" w:rsidRDefault="005A7125" w:rsidP="00D03D31">
      <w:pPr>
        <w:autoSpaceDE w:val="0"/>
        <w:autoSpaceDN w:val="0"/>
        <w:adjustRightInd w:val="0"/>
        <w:spacing w:after="0" w:line="240" w:lineRule="auto"/>
        <w:ind w:left="-720" w:right="-900"/>
        <w:jc w:val="both"/>
        <w:rPr>
          <w:rFonts w:ascii="Times New Roman" w:hAnsi="Times New Roman" w:cs="Times New Roman"/>
          <w:color w:val="000000"/>
          <w:sz w:val="19"/>
          <w:szCs w:val="19"/>
        </w:rPr>
      </w:pPr>
      <w:r w:rsidRPr="000E6D3F">
        <w:rPr>
          <w:rFonts w:ascii="Times New Roman" w:hAnsi="Times New Roman" w:cs="Times New Roman"/>
          <w:b/>
          <w:bCs/>
          <w:color w:val="000000"/>
          <w:sz w:val="19"/>
          <w:szCs w:val="19"/>
        </w:rPr>
        <w:t xml:space="preserve">Interacţiuni: </w:t>
      </w:r>
      <w:r w:rsidRPr="000E6D3F">
        <w:rPr>
          <w:rFonts w:ascii="Times New Roman" w:hAnsi="Times New Roman" w:cs="Times New Roman"/>
          <w:color w:val="000000"/>
          <w:sz w:val="19"/>
          <w:szCs w:val="19"/>
        </w:rPr>
        <w:t xml:space="preserve">În general, vaccinul hepatitic B poate fi administrat concomitent cu vaccinul BCG, DTP, MMR, Polio, folosind zone diferite de injectare. </w:t>
      </w:r>
    </w:p>
    <w:p w:rsidR="005A7125" w:rsidRPr="000E6D3F" w:rsidRDefault="005A7125" w:rsidP="00D03D31">
      <w:pPr>
        <w:autoSpaceDE w:val="0"/>
        <w:autoSpaceDN w:val="0"/>
        <w:adjustRightInd w:val="0"/>
        <w:spacing w:after="0" w:line="240" w:lineRule="auto"/>
        <w:ind w:left="-720" w:right="-900"/>
        <w:jc w:val="both"/>
        <w:rPr>
          <w:rFonts w:ascii="Times New Roman" w:hAnsi="Times New Roman" w:cs="Times New Roman"/>
          <w:color w:val="000000"/>
          <w:sz w:val="19"/>
          <w:szCs w:val="19"/>
        </w:rPr>
      </w:pPr>
      <w:r w:rsidRPr="000E6D3F">
        <w:rPr>
          <w:rFonts w:ascii="Times New Roman" w:hAnsi="Times New Roman" w:cs="Times New Roman"/>
          <w:b/>
          <w:bCs/>
          <w:color w:val="000000"/>
          <w:sz w:val="19"/>
          <w:szCs w:val="19"/>
        </w:rPr>
        <w:t xml:space="preserve">Atenţionări special : </w:t>
      </w:r>
      <w:r w:rsidRPr="000E6D3F">
        <w:rPr>
          <w:rFonts w:ascii="Times New Roman" w:hAnsi="Times New Roman" w:cs="Times New Roman"/>
          <w:color w:val="000000"/>
          <w:sz w:val="19"/>
          <w:szCs w:val="19"/>
        </w:rPr>
        <w:t xml:space="preserve">Administrarea Euvax B trebuie amânată la pacienţii cu afecţiuni febrile acute, severe. La pacienţii cu scleroză multiplă, orice stimulare a sistemului imunitar poate induce exacerbarea simptomelor. De aceea, pentru aceşti pacienţi, avantajele vaccinării împotriva hepatitei B trebuie evaluate în raport cu riscurile exacerbării sclerozei multiple. Se consideră că la pacienţii cu hepatită B în fază latentă sau evolutivă nu se poate obţine protecţia prin vaccinare. </w:t>
      </w:r>
    </w:p>
    <w:p w:rsidR="005A7125" w:rsidRPr="000E6D3F" w:rsidRDefault="005A7125" w:rsidP="00D03D31">
      <w:pPr>
        <w:autoSpaceDE w:val="0"/>
        <w:autoSpaceDN w:val="0"/>
        <w:adjustRightInd w:val="0"/>
        <w:spacing w:after="0" w:line="240" w:lineRule="auto"/>
        <w:ind w:left="-720" w:right="-900"/>
        <w:jc w:val="both"/>
        <w:rPr>
          <w:rFonts w:ascii="Times New Roman" w:hAnsi="Times New Roman" w:cs="Times New Roman"/>
          <w:sz w:val="19"/>
          <w:szCs w:val="19"/>
        </w:rPr>
      </w:pPr>
      <w:r w:rsidRPr="000E6D3F">
        <w:rPr>
          <w:rFonts w:ascii="Times New Roman" w:hAnsi="Times New Roman" w:cs="Times New Roman"/>
          <w:i/>
          <w:iCs/>
          <w:sz w:val="19"/>
          <w:szCs w:val="19"/>
        </w:rPr>
        <w:t xml:space="preserve">Sarcină şi alăptare </w:t>
      </w:r>
      <w:r w:rsidRPr="000E6D3F">
        <w:rPr>
          <w:rFonts w:ascii="Times New Roman" w:hAnsi="Times New Roman" w:cs="Times New Roman"/>
          <w:iCs/>
          <w:sz w:val="19"/>
          <w:szCs w:val="19"/>
        </w:rPr>
        <w:t>:</w:t>
      </w:r>
      <w:r w:rsidRPr="000E6D3F">
        <w:rPr>
          <w:rFonts w:ascii="Times New Roman" w:hAnsi="Times New Roman" w:cs="Times New Roman"/>
          <w:sz w:val="19"/>
          <w:szCs w:val="19"/>
        </w:rPr>
        <w:t xml:space="preserve">Nu s-a evaluat efectul Ag HBs asupra dezvoltării fetale. Totuşi, ca în cazul oricăror vaccinuri cu virusuri inactivate, riscul pentru făt este considerat neglijabil. Euvax B trebuie administrat în timpul sarcinii numai dacă este absolut necesar. Nu s-a evaluat prin studii clinice efectul Euvax B Pediatric asupra sugarilor alimentaţi la sân, ca urmare a administrării acestui vaccin la mamă. Nu s-au stabilit contraindicaţii. </w:t>
      </w:r>
    </w:p>
    <w:p w:rsidR="005A7125" w:rsidRPr="000E6D3F" w:rsidRDefault="005A7125" w:rsidP="00D03D31">
      <w:pPr>
        <w:autoSpaceDE w:val="0"/>
        <w:autoSpaceDN w:val="0"/>
        <w:adjustRightInd w:val="0"/>
        <w:spacing w:after="0" w:line="240" w:lineRule="auto"/>
        <w:ind w:left="-720" w:right="-900"/>
        <w:jc w:val="both"/>
        <w:rPr>
          <w:rFonts w:ascii="Times New Roman" w:hAnsi="Times New Roman" w:cs="Times New Roman"/>
          <w:sz w:val="19"/>
          <w:szCs w:val="19"/>
        </w:rPr>
      </w:pPr>
      <w:r w:rsidRPr="000E6D3F">
        <w:rPr>
          <w:rFonts w:ascii="Times New Roman" w:hAnsi="Times New Roman" w:cs="Times New Roman"/>
          <w:i/>
          <w:iCs/>
          <w:sz w:val="19"/>
          <w:szCs w:val="19"/>
        </w:rPr>
        <w:t xml:space="preserve">Efecte asupra capacităţii de a conduce vehicule sau de a folosi utilaje </w:t>
      </w:r>
      <w:r w:rsidRPr="000E6D3F">
        <w:rPr>
          <w:rFonts w:ascii="Times New Roman" w:hAnsi="Times New Roman" w:cs="Times New Roman"/>
          <w:iCs/>
          <w:sz w:val="19"/>
          <w:szCs w:val="19"/>
        </w:rPr>
        <w:t xml:space="preserve">: </w:t>
      </w:r>
      <w:r w:rsidRPr="000E6D3F">
        <w:rPr>
          <w:rFonts w:ascii="Times New Roman" w:hAnsi="Times New Roman" w:cs="Times New Roman"/>
          <w:sz w:val="19"/>
          <w:szCs w:val="19"/>
        </w:rPr>
        <w:t xml:space="preserve">La unele persoane pot să apară reacţii adverse care pot afecta capacitatea de a conduce vehicule şi de a folosi utilaje. De aceea, persoanele care urmează să fie vaccinate trebuie atenţionate despre această posibilitate. </w:t>
      </w:r>
    </w:p>
    <w:p w:rsidR="005A7125" w:rsidRPr="000E6D3F" w:rsidRDefault="005A7125" w:rsidP="00D03D31">
      <w:pPr>
        <w:autoSpaceDE w:val="0"/>
        <w:autoSpaceDN w:val="0"/>
        <w:adjustRightInd w:val="0"/>
        <w:spacing w:after="0" w:line="240" w:lineRule="auto"/>
        <w:ind w:left="-720" w:right="-900"/>
        <w:jc w:val="both"/>
        <w:rPr>
          <w:rFonts w:ascii="Times New Roman" w:hAnsi="Times New Roman" w:cs="Times New Roman"/>
          <w:sz w:val="19"/>
          <w:szCs w:val="19"/>
        </w:rPr>
      </w:pPr>
      <w:r w:rsidRPr="000E6D3F">
        <w:rPr>
          <w:rFonts w:ascii="Times New Roman" w:hAnsi="Times New Roman" w:cs="Times New Roman"/>
          <w:b/>
          <w:bCs/>
          <w:sz w:val="19"/>
          <w:szCs w:val="19"/>
        </w:rPr>
        <w:t xml:space="preserve">Doze şi mod de administrare </w:t>
      </w:r>
      <w:r w:rsidRPr="000E6D3F">
        <w:rPr>
          <w:rFonts w:ascii="Times New Roman" w:hAnsi="Times New Roman" w:cs="Times New Roman"/>
          <w:bCs/>
          <w:sz w:val="19"/>
          <w:szCs w:val="19"/>
        </w:rPr>
        <w:t>:</w:t>
      </w:r>
      <w:r w:rsidRPr="000E6D3F">
        <w:rPr>
          <w:rFonts w:ascii="Times New Roman" w:hAnsi="Times New Roman" w:cs="Times New Roman"/>
          <w:b/>
          <w:bCs/>
          <w:sz w:val="19"/>
          <w:szCs w:val="19"/>
        </w:rPr>
        <w:t xml:space="preserve"> </w:t>
      </w:r>
      <w:r w:rsidRPr="000E6D3F">
        <w:rPr>
          <w:rFonts w:ascii="Times New Roman" w:hAnsi="Times New Roman" w:cs="Times New Roman"/>
          <w:sz w:val="19"/>
          <w:szCs w:val="19"/>
        </w:rPr>
        <w:t>Euvax B se injectează numai intramuscular.</w:t>
      </w:r>
    </w:p>
    <w:p w:rsidR="005A7125" w:rsidRPr="000E6D3F" w:rsidRDefault="005A7125" w:rsidP="00D03D31">
      <w:pPr>
        <w:autoSpaceDE w:val="0"/>
        <w:autoSpaceDN w:val="0"/>
        <w:adjustRightInd w:val="0"/>
        <w:spacing w:after="0" w:line="240" w:lineRule="auto"/>
        <w:ind w:left="-720" w:right="-900"/>
        <w:jc w:val="both"/>
        <w:rPr>
          <w:rFonts w:ascii="Times New Roman" w:hAnsi="Times New Roman" w:cs="Times New Roman"/>
          <w:sz w:val="19"/>
          <w:szCs w:val="19"/>
        </w:rPr>
      </w:pPr>
      <w:r w:rsidRPr="000E6D3F">
        <w:rPr>
          <w:rFonts w:ascii="Times New Roman" w:hAnsi="Times New Roman" w:cs="Times New Roman"/>
          <w:sz w:val="19"/>
          <w:szCs w:val="19"/>
        </w:rPr>
        <w:t xml:space="preserve">La copii (nou născuţi, sugari şi copii cu vârsta ≤ 15 ani) doza recomandată este de 0,5 ml şi conţine 10 micrograme Ag HBs. </w:t>
      </w:r>
    </w:p>
    <w:p w:rsidR="005A7125" w:rsidRPr="000E6D3F" w:rsidRDefault="005A7125" w:rsidP="00D03D31">
      <w:pPr>
        <w:autoSpaceDE w:val="0"/>
        <w:autoSpaceDN w:val="0"/>
        <w:adjustRightInd w:val="0"/>
        <w:spacing w:after="0" w:line="240" w:lineRule="auto"/>
        <w:ind w:left="-720" w:right="-900"/>
        <w:jc w:val="both"/>
        <w:rPr>
          <w:rFonts w:ascii="Times New Roman" w:hAnsi="Times New Roman" w:cs="Times New Roman"/>
          <w:sz w:val="19"/>
          <w:szCs w:val="19"/>
        </w:rPr>
      </w:pPr>
      <w:r w:rsidRPr="000E6D3F">
        <w:rPr>
          <w:rFonts w:ascii="Times New Roman" w:hAnsi="Times New Roman" w:cs="Times New Roman"/>
          <w:sz w:val="19"/>
          <w:szCs w:val="19"/>
        </w:rPr>
        <w:t xml:space="preserve">La adulţi (cu vârsta ≥ 16 ani) doza recomandată este de 1 ml şi conţine 20 micrograme AgHBs. </w:t>
      </w:r>
    </w:p>
    <w:p w:rsidR="005A7125" w:rsidRPr="000E6D3F" w:rsidRDefault="005A7125" w:rsidP="00D03D31">
      <w:pPr>
        <w:autoSpaceDE w:val="0"/>
        <w:autoSpaceDN w:val="0"/>
        <w:adjustRightInd w:val="0"/>
        <w:spacing w:after="0" w:line="240" w:lineRule="auto"/>
        <w:ind w:left="-720" w:right="-900"/>
        <w:jc w:val="both"/>
        <w:rPr>
          <w:rFonts w:ascii="Times New Roman" w:hAnsi="Times New Roman" w:cs="Times New Roman"/>
          <w:sz w:val="19"/>
          <w:szCs w:val="19"/>
        </w:rPr>
      </w:pPr>
      <w:r w:rsidRPr="000E6D3F">
        <w:rPr>
          <w:rFonts w:ascii="Times New Roman" w:hAnsi="Times New Roman" w:cs="Times New Roman"/>
          <w:sz w:val="19"/>
          <w:szCs w:val="19"/>
        </w:rPr>
        <w:t xml:space="preserve">Schema de imunizare constă din trei doze de vaccin administrate conform următoarei scheme: </w:t>
      </w:r>
    </w:p>
    <w:p w:rsidR="005A7125" w:rsidRPr="000E6D3F" w:rsidRDefault="005A7125" w:rsidP="00D03D31">
      <w:pPr>
        <w:autoSpaceDE w:val="0"/>
        <w:autoSpaceDN w:val="0"/>
        <w:adjustRightInd w:val="0"/>
        <w:spacing w:after="0" w:line="240" w:lineRule="auto"/>
        <w:ind w:left="-720" w:right="-900"/>
        <w:jc w:val="both"/>
        <w:rPr>
          <w:rFonts w:ascii="Times New Roman" w:hAnsi="Times New Roman" w:cs="Times New Roman"/>
          <w:sz w:val="19"/>
          <w:szCs w:val="19"/>
        </w:rPr>
      </w:pPr>
      <w:r w:rsidRPr="000E6D3F">
        <w:rPr>
          <w:rFonts w:ascii="Times New Roman" w:hAnsi="Times New Roman" w:cs="Times New Roman"/>
          <w:sz w:val="19"/>
          <w:szCs w:val="19"/>
        </w:rPr>
        <w:t xml:space="preserve">- Prima doză: la o dată aleasă </w:t>
      </w:r>
    </w:p>
    <w:p w:rsidR="005A7125" w:rsidRPr="000E6D3F" w:rsidRDefault="005A7125" w:rsidP="00D03D31">
      <w:pPr>
        <w:autoSpaceDE w:val="0"/>
        <w:autoSpaceDN w:val="0"/>
        <w:adjustRightInd w:val="0"/>
        <w:spacing w:after="0" w:line="240" w:lineRule="auto"/>
        <w:ind w:left="-720" w:right="-900"/>
        <w:jc w:val="both"/>
        <w:rPr>
          <w:rFonts w:ascii="Times New Roman" w:hAnsi="Times New Roman" w:cs="Times New Roman"/>
          <w:sz w:val="19"/>
          <w:szCs w:val="19"/>
        </w:rPr>
      </w:pPr>
      <w:r w:rsidRPr="000E6D3F">
        <w:rPr>
          <w:rFonts w:ascii="Times New Roman" w:hAnsi="Times New Roman" w:cs="Times New Roman"/>
          <w:sz w:val="19"/>
          <w:szCs w:val="19"/>
        </w:rPr>
        <w:t xml:space="preserve">- A doua doză: la o lună de la administrarea primei doze </w:t>
      </w:r>
    </w:p>
    <w:p w:rsidR="005A7125" w:rsidRPr="000E6D3F" w:rsidRDefault="005A7125" w:rsidP="00D03D31">
      <w:pPr>
        <w:autoSpaceDE w:val="0"/>
        <w:autoSpaceDN w:val="0"/>
        <w:adjustRightInd w:val="0"/>
        <w:spacing w:after="0" w:line="240" w:lineRule="auto"/>
        <w:ind w:left="-720" w:right="-900"/>
        <w:jc w:val="both"/>
        <w:rPr>
          <w:rFonts w:ascii="Times New Roman" w:hAnsi="Times New Roman" w:cs="Times New Roman"/>
          <w:sz w:val="19"/>
          <w:szCs w:val="19"/>
        </w:rPr>
      </w:pPr>
      <w:r w:rsidRPr="000E6D3F">
        <w:rPr>
          <w:rFonts w:ascii="Times New Roman" w:hAnsi="Times New Roman" w:cs="Times New Roman"/>
          <w:sz w:val="19"/>
          <w:szCs w:val="19"/>
        </w:rPr>
        <w:t xml:space="preserve">- A treia doză: la şase luni de la administrarea primei doze </w:t>
      </w:r>
    </w:p>
    <w:p w:rsidR="005A7125" w:rsidRPr="000E6D3F" w:rsidRDefault="005A7125" w:rsidP="00D03D31">
      <w:pPr>
        <w:autoSpaceDE w:val="0"/>
        <w:autoSpaceDN w:val="0"/>
        <w:adjustRightInd w:val="0"/>
        <w:spacing w:after="0" w:line="240" w:lineRule="auto"/>
        <w:ind w:left="-720" w:right="-900"/>
        <w:jc w:val="both"/>
        <w:rPr>
          <w:rFonts w:ascii="Times New Roman" w:hAnsi="Times New Roman" w:cs="Times New Roman"/>
          <w:sz w:val="19"/>
          <w:szCs w:val="19"/>
        </w:rPr>
      </w:pPr>
      <w:r w:rsidRPr="000E6D3F">
        <w:rPr>
          <w:rFonts w:ascii="Times New Roman" w:hAnsi="Times New Roman" w:cs="Times New Roman"/>
          <w:sz w:val="19"/>
          <w:szCs w:val="19"/>
        </w:rPr>
        <w:t xml:space="preserve">Doza de rapel: OMS nu recomandă doza de rapel, deoarece s-a demonstrat că imunizarea cu o serie de 3 doze de vaccin hepatitic B oferă protecţie pentru o perioadă de 15 ani, iar un răspuns protector anamnestic apare după expunerea la VHB, chiar dacă valoarea anticorpilor protectori s-a diminuat în timp. Cu toate acestea, câteva programe locale de vaccinare din lume includ o recomandare a dozei de rapel iar acestea trebuie respectate. </w:t>
      </w:r>
    </w:p>
    <w:p w:rsidR="005A7125" w:rsidRPr="000E6D3F" w:rsidRDefault="005A7125" w:rsidP="00D03D31">
      <w:pPr>
        <w:autoSpaceDE w:val="0"/>
        <w:autoSpaceDN w:val="0"/>
        <w:adjustRightInd w:val="0"/>
        <w:spacing w:after="0" w:line="240" w:lineRule="auto"/>
        <w:ind w:left="-720" w:right="-900"/>
        <w:jc w:val="both"/>
        <w:rPr>
          <w:rFonts w:ascii="Times New Roman" w:hAnsi="Times New Roman" w:cs="Times New Roman"/>
          <w:sz w:val="19"/>
          <w:szCs w:val="19"/>
        </w:rPr>
      </w:pPr>
      <w:r w:rsidRPr="000E6D3F">
        <w:rPr>
          <w:rFonts w:ascii="Times New Roman" w:hAnsi="Times New Roman" w:cs="Times New Roman"/>
          <w:sz w:val="19"/>
          <w:szCs w:val="19"/>
        </w:rPr>
        <w:t xml:space="preserve">La anumite populaţii, se poate utiliza o schemă alternativă de administrare a vaccinului (luna 0, după o lună şi după două luni) cu doza de rapel după 12 luni (de exemplu, nou născuţi din mame infectate cu virus hepatitic B, persoane care au fost sau posibil au fost expuse recent la virus sau persoane care călătoresc în zone cu risc foarte mare). </w:t>
      </w:r>
    </w:p>
    <w:p w:rsidR="005A7125" w:rsidRPr="000E6D3F" w:rsidRDefault="005A7125" w:rsidP="00D03D31">
      <w:pPr>
        <w:autoSpaceDE w:val="0"/>
        <w:autoSpaceDN w:val="0"/>
        <w:adjustRightInd w:val="0"/>
        <w:spacing w:after="0" w:line="240" w:lineRule="auto"/>
        <w:ind w:left="-720" w:right="-900"/>
        <w:jc w:val="both"/>
        <w:rPr>
          <w:rFonts w:ascii="Times New Roman" w:hAnsi="Times New Roman" w:cs="Times New Roman"/>
          <w:sz w:val="19"/>
          <w:szCs w:val="19"/>
        </w:rPr>
      </w:pPr>
      <w:r w:rsidRPr="000E6D3F">
        <w:rPr>
          <w:rFonts w:ascii="Times New Roman" w:hAnsi="Times New Roman" w:cs="Times New Roman"/>
          <w:sz w:val="19"/>
          <w:szCs w:val="19"/>
        </w:rPr>
        <w:t xml:space="preserve">La pacienţii hemodializaţi sau la cei cu imunodeficiţă pot fi necesare doze suplimentare de vaccin, deoarece este posibil să nu se obţină titrul protector de anticorpi (&gt;10 UI/l) după seria de imunizare primară. </w:t>
      </w:r>
    </w:p>
    <w:p w:rsidR="005A7125" w:rsidRPr="000E6D3F" w:rsidRDefault="005A7125" w:rsidP="00D03D31">
      <w:pPr>
        <w:autoSpaceDE w:val="0"/>
        <w:autoSpaceDN w:val="0"/>
        <w:adjustRightInd w:val="0"/>
        <w:spacing w:after="0" w:line="240" w:lineRule="auto"/>
        <w:ind w:left="-720" w:right="-900"/>
        <w:jc w:val="both"/>
        <w:rPr>
          <w:rFonts w:ascii="Times New Roman" w:hAnsi="Times New Roman" w:cs="Times New Roman"/>
          <w:b/>
          <w:bCs/>
          <w:sz w:val="19"/>
          <w:szCs w:val="19"/>
        </w:rPr>
      </w:pPr>
      <w:r w:rsidRPr="000E6D3F">
        <w:rPr>
          <w:rFonts w:ascii="Times New Roman" w:hAnsi="Times New Roman" w:cs="Times New Roman"/>
          <w:b/>
          <w:bCs/>
          <w:sz w:val="19"/>
          <w:szCs w:val="19"/>
        </w:rPr>
        <w:t xml:space="preserve">Reacţii adverse </w:t>
      </w:r>
    </w:p>
    <w:p w:rsidR="005A7125" w:rsidRPr="000E6D3F" w:rsidRDefault="005A7125" w:rsidP="00D03D31">
      <w:pPr>
        <w:autoSpaceDE w:val="0"/>
        <w:autoSpaceDN w:val="0"/>
        <w:adjustRightInd w:val="0"/>
        <w:spacing w:after="0" w:line="240" w:lineRule="auto"/>
        <w:ind w:left="-720" w:right="-900"/>
        <w:jc w:val="both"/>
        <w:rPr>
          <w:rFonts w:ascii="Times New Roman" w:hAnsi="Times New Roman" w:cs="Times New Roman"/>
          <w:sz w:val="19"/>
          <w:szCs w:val="19"/>
        </w:rPr>
      </w:pPr>
      <w:r w:rsidRPr="000E6D3F">
        <w:rPr>
          <w:rFonts w:ascii="Times New Roman" w:hAnsi="Times New Roman" w:cs="Times New Roman"/>
          <w:i/>
          <w:iCs/>
          <w:sz w:val="19"/>
          <w:szCs w:val="19"/>
        </w:rPr>
        <w:t>Frecvente</w:t>
      </w:r>
      <w:r w:rsidRPr="000E6D3F">
        <w:rPr>
          <w:rFonts w:ascii="Times New Roman" w:hAnsi="Times New Roman" w:cs="Times New Roman"/>
          <w:sz w:val="19"/>
          <w:szCs w:val="19"/>
        </w:rPr>
        <w:t xml:space="preserve">: Rareori pot să apară reacţii locale cum sunt eritem, durere, tumefiere sau febră uşoară; aceste simptome dispar după 2 zile. </w:t>
      </w:r>
    </w:p>
    <w:p w:rsidR="005A7125" w:rsidRPr="000E6D3F" w:rsidRDefault="005A7125" w:rsidP="00D03D31">
      <w:pPr>
        <w:autoSpaceDE w:val="0"/>
        <w:autoSpaceDN w:val="0"/>
        <w:adjustRightInd w:val="0"/>
        <w:spacing w:after="0" w:line="240" w:lineRule="auto"/>
        <w:ind w:left="-720" w:right="-900"/>
        <w:jc w:val="both"/>
        <w:rPr>
          <w:rFonts w:ascii="Times New Roman" w:hAnsi="Times New Roman" w:cs="Times New Roman"/>
          <w:sz w:val="19"/>
          <w:szCs w:val="19"/>
        </w:rPr>
      </w:pPr>
      <w:r w:rsidRPr="000E6D3F">
        <w:rPr>
          <w:rFonts w:ascii="Times New Roman" w:hAnsi="Times New Roman" w:cs="Times New Roman"/>
          <w:i/>
          <w:iCs/>
          <w:sz w:val="19"/>
          <w:szCs w:val="19"/>
        </w:rPr>
        <w:t>Rare</w:t>
      </w:r>
      <w:r w:rsidRPr="000E6D3F">
        <w:rPr>
          <w:rFonts w:ascii="Times New Roman" w:hAnsi="Times New Roman" w:cs="Times New Roman"/>
          <w:sz w:val="19"/>
          <w:szCs w:val="19"/>
        </w:rPr>
        <w:t xml:space="preserve">: Hipertermie (peste 38,8°C); Reacţii sistemice cum sunt stare generală de rău, astenie, cefalee, greaţă, vărsături, ameţeli, mialgii sau artrite; şi Erupţii cutanate şi creştere tranzitorie a transaminazelor. </w:t>
      </w:r>
    </w:p>
    <w:p w:rsidR="005A7125" w:rsidRPr="000E6D3F" w:rsidRDefault="005A7125" w:rsidP="00D03D31">
      <w:pPr>
        <w:autoSpaceDE w:val="0"/>
        <w:autoSpaceDN w:val="0"/>
        <w:adjustRightInd w:val="0"/>
        <w:spacing w:after="0" w:line="240" w:lineRule="auto"/>
        <w:ind w:left="-720" w:right="-900"/>
        <w:jc w:val="both"/>
        <w:rPr>
          <w:rFonts w:ascii="Times New Roman" w:hAnsi="Times New Roman" w:cs="Times New Roman"/>
          <w:sz w:val="19"/>
          <w:szCs w:val="19"/>
        </w:rPr>
      </w:pPr>
      <w:r w:rsidRPr="000E6D3F">
        <w:rPr>
          <w:rFonts w:ascii="Times New Roman" w:hAnsi="Times New Roman" w:cs="Times New Roman"/>
          <w:i/>
          <w:iCs/>
          <w:sz w:val="19"/>
          <w:szCs w:val="19"/>
        </w:rPr>
        <w:t>Foarte rare</w:t>
      </w:r>
      <w:r w:rsidRPr="000E6D3F">
        <w:rPr>
          <w:rFonts w:ascii="Times New Roman" w:hAnsi="Times New Roman" w:cs="Times New Roman"/>
          <w:sz w:val="19"/>
          <w:szCs w:val="19"/>
        </w:rPr>
        <w:t xml:space="preserve">: Nu se poate stabili o succesiune etiologică a cauzelor şi efectelor raportării de nevrite multiple, nevrite optice, paralizie facială, exacerbare a sclerozei multiple şi sindrom Guillain-Barré. </w:t>
      </w:r>
    </w:p>
    <w:p w:rsidR="005A7125" w:rsidRPr="000E6D3F" w:rsidRDefault="005A7125" w:rsidP="00D03D31">
      <w:pPr>
        <w:autoSpaceDE w:val="0"/>
        <w:autoSpaceDN w:val="0"/>
        <w:adjustRightInd w:val="0"/>
        <w:spacing w:after="0" w:line="240" w:lineRule="auto"/>
        <w:ind w:left="-720" w:right="-900"/>
        <w:jc w:val="both"/>
        <w:rPr>
          <w:rFonts w:ascii="Times New Roman" w:hAnsi="Times New Roman" w:cs="Times New Roman"/>
          <w:sz w:val="19"/>
          <w:szCs w:val="19"/>
        </w:rPr>
      </w:pPr>
      <w:r w:rsidRPr="000E6D3F">
        <w:rPr>
          <w:rFonts w:ascii="Times New Roman" w:hAnsi="Times New Roman" w:cs="Times New Roman"/>
          <w:b/>
          <w:bCs/>
          <w:sz w:val="19"/>
          <w:szCs w:val="19"/>
        </w:rPr>
        <w:t xml:space="preserve">Supradozaj </w:t>
      </w:r>
      <w:r w:rsidR="00D03D31" w:rsidRPr="000E6D3F">
        <w:rPr>
          <w:rFonts w:ascii="Times New Roman" w:hAnsi="Times New Roman" w:cs="Times New Roman"/>
          <w:b/>
          <w:bCs/>
          <w:sz w:val="19"/>
          <w:szCs w:val="19"/>
        </w:rPr>
        <w:t xml:space="preserve">: </w:t>
      </w:r>
      <w:r w:rsidRPr="000E6D3F">
        <w:rPr>
          <w:rFonts w:ascii="Times New Roman" w:hAnsi="Times New Roman" w:cs="Times New Roman"/>
          <w:sz w:val="19"/>
          <w:szCs w:val="19"/>
        </w:rPr>
        <w:t xml:space="preserve">Nu s-a raportat nici un caz de supradozaj. </w:t>
      </w:r>
    </w:p>
    <w:p w:rsidR="005A7125" w:rsidRPr="000E6D3F" w:rsidRDefault="005A7125" w:rsidP="00D03D31">
      <w:pPr>
        <w:autoSpaceDE w:val="0"/>
        <w:autoSpaceDN w:val="0"/>
        <w:adjustRightInd w:val="0"/>
        <w:spacing w:after="0" w:line="240" w:lineRule="auto"/>
        <w:ind w:left="-720" w:right="-900"/>
        <w:jc w:val="both"/>
        <w:rPr>
          <w:rFonts w:ascii="Times New Roman" w:hAnsi="Times New Roman" w:cs="Times New Roman"/>
          <w:sz w:val="19"/>
          <w:szCs w:val="19"/>
        </w:rPr>
      </w:pPr>
      <w:r w:rsidRPr="000E6D3F">
        <w:rPr>
          <w:rFonts w:ascii="Times New Roman" w:hAnsi="Times New Roman" w:cs="Times New Roman"/>
          <w:b/>
          <w:bCs/>
          <w:sz w:val="19"/>
          <w:szCs w:val="19"/>
        </w:rPr>
        <w:t>Păstrare</w:t>
      </w:r>
      <w:r w:rsidR="00D03D31" w:rsidRPr="000E6D3F">
        <w:rPr>
          <w:rFonts w:ascii="Times New Roman" w:hAnsi="Times New Roman" w:cs="Times New Roman"/>
          <w:b/>
          <w:bCs/>
          <w:sz w:val="19"/>
          <w:szCs w:val="19"/>
        </w:rPr>
        <w:t xml:space="preserve">: </w:t>
      </w:r>
      <w:r w:rsidRPr="000E6D3F">
        <w:rPr>
          <w:rFonts w:ascii="Times New Roman" w:hAnsi="Times New Roman" w:cs="Times New Roman"/>
          <w:sz w:val="19"/>
          <w:szCs w:val="19"/>
        </w:rPr>
        <w:t xml:space="preserve">A nu se utiliza după data de expirare înscrisă pe ambalaj. A se păstra la temperaturi între 2ºC - 8ºC, în ambalajul original. A nu se congela. A nu se lăsa la îndemâna copiilor. </w:t>
      </w:r>
    </w:p>
    <w:p w:rsidR="005A7125" w:rsidRPr="000E6D3F" w:rsidRDefault="005A7125" w:rsidP="00D03D31">
      <w:pPr>
        <w:autoSpaceDE w:val="0"/>
        <w:autoSpaceDN w:val="0"/>
        <w:adjustRightInd w:val="0"/>
        <w:spacing w:after="0" w:line="240" w:lineRule="auto"/>
        <w:ind w:left="-720" w:right="-900"/>
        <w:jc w:val="both"/>
        <w:rPr>
          <w:rFonts w:ascii="Times New Roman" w:hAnsi="Times New Roman" w:cs="Times New Roman"/>
          <w:sz w:val="19"/>
          <w:szCs w:val="19"/>
        </w:rPr>
      </w:pPr>
      <w:r w:rsidRPr="000E6D3F">
        <w:rPr>
          <w:rFonts w:ascii="Times New Roman" w:hAnsi="Times New Roman" w:cs="Times New Roman"/>
          <w:b/>
          <w:bCs/>
          <w:sz w:val="19"/>
          <w:szCs w:val="19"/>
        </w:rPr>
        <w:t xml:space="preserve">Ambalaj </w:t>
      </w:r>
      <w:r w:rsidR="00660324">
        <w:rPr>
          <w:rFonts w:ascii="Times New Roman" w:hAnsi="Times New Roman" w:cs="Times New Roman"/>
          <w:b/>
          <w:bCs/>
          <w:sz w:val="19"/>
          <w:szCs w:val="19"/>
        </w:rPr>
        <w:t xml:space="preserve">: </w:t>
      </w:r>
      <w:r w:rsidRPr="000E6D3F">
        <w:rPr>
          <w:rFonts w:ascii="Times New Roman" w:hAnsi="Times New Roman" w:cs="Times New Roman"/>
          <w:sz w:val="19"/>
          <w:szCs w:val="19"/>
        </w:rPr>
        <w:t>Cutie cu 1 flacon monodoză din sticlă incoloră a 0,5 ml suspensie injectabilă.</w:t>
      </w:r>
      <w:r w:rsidR="00D03D31" w:rsidRPr="000E6D3F">
        <w:rPr>
          <w:rFonts w:ascii="Times New Roman" w:hAnsi="Times New Roman" w:cs="Times New Roman"/>
          <w:sz w:val="19"/>
          <w:szCs w:val="19"/>
        </w:rPr>
        <w:t xml:space="preserve"> </w:t>
      </w:r>
      <w:r w:rsidRPr="000E6D3F">
        <w:rPr>
          <w:rFonts w:ascii="Times New Roman" w:hAnsi="Times New Roman" w:cs="Times New Roman"/>
          <w:sz w:val="19"/>
          <w:szCs w:val="19"/>
        </w:rPr>
        <w:t>Cutie cu 10 flacoane monodoză din sticlă incoloră a câte 0,5 ml suspensie injectabilă</w:t>
      </w:r>
      <w:r w:rsidR="00D03D31" w:rsidRPr="000E6D3F">
        <w:rPr>
          <w:rFonts w:ascii="Times New Roman" w:hAnsi="Times New Roman" w:cs="Times New Roman"/>
          <w:sz w:val="19"/>
          <w:szCs w:val="19"/>
        </w:rPr>
        <w:t xml:space="preserve">. </w:t>
      </w:r>
      <w:r w:rsidRPr="000E6D3F">
        <w:rPr>
          <w:rFonts w:ascii="Times New Roman" w:hAnsi="Times New Roman" w:cs="Times New Roman"/>
          <w:sz w:val="19"/>
          <w:szCs w:val="19"/>
        </w:rPr>
        <w:t xml:space="preserve">Cutie cu 20 flacoane monodoză din sticlă incoloră a câte 0,5 ml suspensie injectabilă. </w:t>
      </w:r>
    </w:p>
    <w:p w:rsidR="005A7125" w:rsidRPr="000E6D3F" w:rsidRDefault="005A7125" w:rsidP="00D03D31">
      <w:pPr>
        <w:autoSpaceDE w:val="0"/>
        <w:autoSpaceDN w:val="0"/>
        <w:adjustRightInd w:val="0"/>
        <w:spacing w:after="0" w:line="240" w:lineRule="auto"/>
        <w:ind w:left="-720" w:right="-900"/>
        <w:jc w:val="both"/>
        <w:rPr>
          <w:rFonts w:ascii="Times New Roman" w:hAnsi="Times New Roman" w:cs="Times New Roman"/>
          <w:sz w:val="19"/>
          <w:szCs w:val="19"/>
        </w:rPr>
      </w:pPr>
      <w:r w:rsidRPr="000E6D3F">
        <w:rPr>
          <w:rFonts w:ascii="Times New Roman" w:hAnsi="Times New Roman" w:cs="Times New Roman"/>
          <w:b/>
          <w:bCs/>
          <w:sz w:val="19"/>
          <w:szCs w:val="19"/>
        </w:rPr>
        <w:t xml:space="preserve">Producător </w:t>
      </w:r>
      <w:r w:rsidR="00D03D31" w:rsidRPr="000E6D3F">
        <w:rPr>
          <w:rFonts w:ascii="Times New Roman" w:hAnsi="Times New Roman" w:cs="Times New Roman"/>
          <w:b/>
          <w:bCs/>
          <w:sz w:val="19"/>
          <w:szCs w:val="19"/>
        </w:rPr>
        <w:t xml:space="preserve">: </w:t>
      </w:r>
      <w:r w:rsidRPr="000E6D3F">
        <w:rPr>
          <w:rFonts w:ascii="Times New Roman" w:hAnsi="Times New Roman" w:cs="Times New Roman"/>
          <w:sz w:val="19"/>
          <w:szCs w:val="19"/>
        </w:rPr>
        <w:t xml:space="preserve">LG Life Sciences Poland Sp. Zo.o. Ul. Grzybowska 80/82 00 -844 Varşovia, Polonia </w:t>
      </w:r>
    </w:p>
    <w:p w:rsidR="005A7125" w:rsidRPr="000E6D3F" w:rsidRDefault="005A7125" w:rsidP="00D03D31">
      <w:pPr>
        <w:autoSpaceDE w:val="0"/>
        <w:autoSpaceDN w:val="0"/>
        <w:adjustRightInd w:val="0"/>
        <w:spacing w:after="0" w:line="240" w:lineRule="auto"/>
        <w:ind w:left="-720" w:right="-900"/>
        <w:jc w:val="both"/>
        <w:rPr>
          <w:rFonts w:ascii="Times New Roman" w:hAnsi="Times New Roman" w:cs="Times New Roman"/>
          <w:sz w:val="19"/>
          <w:szCs w:val="19"/>
        </w:rPr>
      </w:pPr>
      <w:r w:rsidRPr="000E6D3F">
        <w:rPr>
          <w:rFonts w:ascii="Times New Roman" w:hAnsi="Times New Roman" w:cs="Times New Roman"/>
          <w:b/>
          <w:bCs/>
          <w:sz w:val="19"/>
          <w:szCs w:val="19"/>
        </w:rPr>
        <w:t xml:space="preserve">Deţinătorul Autorizaţiei de punere pe piaţă </w:t>
      </w:r>
      <w:r w:rsidR="00D03D31" w:rsidRPr="000E6D3F">
        <w:rPr>
          <w:rFonts w:ascii="Times New Roman" w:hAnsi="Times New Roman" w:cs="Times New Roman"/>
          <w:b/>
          <w:bCs/>
          <w:sz w:val="19"/>
          <w:szCs w:val="19"/>
        </w:rPr>
        <w:t xml:space="preserve">: </w:t>
      </w:r>
      <w:r w:rsidRPr="000E6D3F">
        <w:rPr>
          <w:rFonts w:ascii="Times New Roman" w:hAnsi="Times New Roman" w:cs="Times New Roman"/>
          <w:sz w:val="19"/>
          <w:szCs w:val="19"/>
        </w:rPr>
        <w:t xml:space="preserve">LG Life Sciences Poland Sp. Zo.o. Ul. Grzybowska 80/82 00 -844 Varşovia, Polonia </w:t>
      </w:r>
    </w:p>
    <w:p w:rsidR="005A7125" w:rsidRPr="000E6D3F" w:rsidRDefault="005A7125" w:rsidP="00D03D31">
      <w:pPr>
        <w:autoSpaceDE w:val="0"/>
        <w:autoSpaceDN w:val="0"/>
        <w:adjustRightInd w:val="0"/>
        <w:spacing w:after="0" w:line="240" w:lineRule="auto"/>
        <w:ind w:left="-720" w:right="-900"/>
        <w:jc w:val="both"/>
        <w:rPr>
          <w:rFonts w:ascii="Times New Roman" w:hAnsi="Times New Roman" w:cs="Times New Roman"/>
          <w:sz w:val="19"/>
          <w:szCs w:val="19"/>
        </w:rPr>
      </w:pPr>
      <w:r w:rsidRPr="000E6D3F">
        <w:rPr>
          <w:rFonts w:ascii="Times New Roman" w:hAnsi="Times New Roman" w:cs="Times New Roman"/>
          <w:b/>
          <w:bCs/>
          <w:sz w:val="19"/>
          <w:szCs w:val="19"/>
        </w:rPr>
        <w:t xml:space="preserve">Data ultimei verificări a prospectului </w:t>
      </w:r>
      <w:r w:rsidR="00D03D31" w:rsidRPr="000E6D3F">
        <w:rPr>
          <w:rFonts w:ascii="Times New Roman" w:hAnsi="Times New Roman" w:cs="Times New Roman"/>
          <w:b/>
          <w:bCs/>
          <w:sz w:val="19"/>
          <w:szCs w:val="19"/>
        </w:rPr>
        <w:t xml:space="preserve">: </w:t>
      </w:r>
      <w:r w:rsidRPr="000E6D3F">
        <w:rPr>
          <w:rFonts w:ascii="Times New Roman" w:hAnsi="Times New Roman" w:cs="Times New Roman"/>
          <w:sz w:val="19"/>
          <w:szCs w:val="19"/>
        </w:rPr>
        <w:t>Septembrie 2013</w:t>
      </w:r>
    </w:p>
    <w:p w:rsidR="002D3388" w:rsidRPr="000E6D3F" w:rsidRDefault="002D3388">
      <w:pPr>
        <w:rPr>
          <w:sz w:val="19"/>
          <w:szCs w:val="19"/>
        </w:rPr>
      </w:pPr>
    </w:p>
    <w:sectPr w:rsidR="002D3388" w:rsidRPr="000E6D3F" w:rsidSect="000E6D3F">
      <w:pgSz w:w="12240" w:h="15840"/>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CC"/>
    <w:rsid w:val="000E6D3F"/>
    <w:rsid w:val="002B5B05"/>
    <w:rsid w:val="002D3388"/>
    <w:rsid w:val="005A7125"/>
    <w:rsid w:val="00660324"/>
    <w:rsid w:val="00CF19CC"/>
    <w:rsid w:val="00D0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885</Words>
  <Characters>5135</Characters>
  <Application>Microsoft Office Word</Application>
  <DocSecurity>0</DocSecurity>
  <Lines>42</Lines>
  <Paragraphs>12</Paragraphs>
  <ScaleCrop>false</ScaleCrop>
  <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Claudia Elena Calin</cp:lastModifiedBy>
  <cp:revision>2</cp:revision>
  <dcterms:created xsi:type="dcterms:W3CDTF">2013-10-18T07:07:00Z</dcterms:created>
  <dcterms:modified xsi:type="dcterms:W3CDTF">2013-10-18T07:07:00Z</dcterms:modified>
</cp:coreProperties>
</file>