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68" w:rsidRPr="00582617" w:rsidRDefault="00AF6268" w:rsidP="00A32C87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617">
        <w:rPr>
          <w:rFonts w:ascii="Times New Roman" w:hAnsi="Times New Roman" w:cs="Times New Roman"/>
          <w:color w:val="000000" w:themeColor="text1"/>
          <w:sz w:val="28"/>
          <w:szCs w:val="28"/>
        </w:rPr>
        <w:t>COMUNICAT DE PRESĂ</w:t>
      </w:r>
    </w:p>
    <w:p w:rsidR="00BF5C6C" w:rsidRPr="00582617" w:rsidRDefault="00BF5C6C" w:rsidP="00BF5C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Campania </w:t>
      </w:r>
    </w:p>
    <w:p w:rsidR="00BF5C6C" w:rsidRPr="00EC17F9" w:rsidRDefault="00BF5C6C" w:rsidP="00BF5C6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C17F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</w:t>
      </w:r>
      <w:r w:rsidR="00DA4267" w:rsidRPr="00EC17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PROTEJEAZĂ-ȚI SĂNĂTATEA! </w:t>
      </w:r>
    </w:p>
    <w:p w:rsidR="00BF5C6C" w:rsidRPr="00EC17F9" w:rsidRDefault="00DA4267" w:rsidP="00BF5C6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proofErr w:type="gramStart"/>
      <w:r w:rsidRPr="00EC17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SĂNĂTATEA REPRODUCERII – DREPTUL ȘI RESPONSABILITATEA TA!”</w:t>
      </w:r>
      <w:proofErr w:type="gramEnd"/>
    </w:p>
    <w:p w:rsidR="00BF5C6C" w:rsidRPr="00EC17F9" w:rsidRDefault="00BF5C6C" w:rsidP="00BF5C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C6C" w:rsidRPr="00582617" w:rsidRDefault="00BF5C6C" w:rsidP="00BF5C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2617">
        <w:rPr>
          <w:rFonts w:ascii="Times New Roman" w:hAnsi="Times New Roman" w:cs="Times New Roman"/>
          <w:color w:val="000000" w:themeColor="text1"/>
          <w:sz w:val="24"/>
          <w:szCs w:val="24"/>
        </w:rPr>
        <w:t>Februarie</w:t>
      </w:r>
      <w:proofErr w:type="spellEnd"/>
      <w:r w:rsidRPr="005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:rsidR="00DA4267" w:rsidRPr="00EC17F9" w:rsidRDefault="00B30A57" w:rsidP="00742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617">
        <w:rPr>
          <w:rFonts w:ascii="Times New Roman" w:hAnsi="Times New Roman" w:cs="Times New Roman"/>
          <w:sz w:val="24"/>
          <w:szCs w:val="24"/>
          <w:lang w:val="it-IT"/>
        </w:rPr>
        <w:t>În luna februarie, Ministerul Sănătății</w:t>
      </w:r>
      <w:r w:rsidR="00E841E4" w:rsidRPr="00582617">
        <w:rPr>
          <w:rFonts w:ascii="Times New Roman" w:hAnsi="Times New Roman" w:cs="Times New Roman"/>
          <w:sz w:val="24"/>
          <w:szCs w:val="24"/>
          <w:lang w:val="it-IT"/>
        </w:rPr>
        <w:t>,</w:t>
      </w:r>
      <w:bookmarkStart w:id="0" w:name="_GoBack"/>
      <w:bookmarkEnd w:id="0"/>
      <w:r w:rsidRPr="00582617">
        <w:rPr>
          <w:rFonts w:ascii="Times New Roman" w:hAnsi="Times New Roman" w:cs="Times New Roman"/>
          <w:sz w:val="24"/>
          <w:szCs w:val="24"/>
          <w:lang w:val="it-IT"/>
        </w:rPr>
        <w:t xml:space="preserve"> prin Programul Național de Evaluare și Promovare a Sănătății finanțează și organizează </w:t>
      </w:r>
      <w:r w:rsidRPr="0058261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campania</w:t>
      </w:r>
      <w:r w:rsidRPr="00EC17F9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“Protejează-ți sănătatea!  Sănătatea reproducerii – dreptul și responsabilitatea ta!”</w:t>
      </w:r>
      <w:r w:rsidR="00DA4267" w:rsidRPr="00EC17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EC17F9">
        <w:rPr>
          <w:rFonts w:ascii="Times New Roman" w:hAnsi="Times New Roman" w:cs="Times New Roman"/>
          <w:sz w:val="24"/>
          <w:szCs w:val="24"/>
          <w:lang w:val="it-IT"/>
        </w:rPr>
        <w:t>campanie  care aduce în atenția publică problematica  sănătății</w:t>
      </w:r>
      <w:r w:rsidR="00BE2F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reproducerii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adolescen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>ți</w:t>
      </w:r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C17F9">
        <w:rPr>
          <w:rFonts w:ascii="Times New Roman" w:hAnsi="Times New Roman" w:cs="Times New Roman"/>
          <w:sz w:val="24"/>
          <w:szCs w:val="24"/>
          <w:lang w:val="fr-FR"/>
        </w:rPr>
        <w:t>și</w:t>
      </w:r>
      <w:r w:rsidR="005826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femeile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gravide</w:t>
      </w:r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și are ca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obiectiv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cre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ș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terea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nivelului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contracep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importan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ța</w:t>
      </w:r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planificării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familiale,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sănătatea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sarcinii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avorturile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și</w:t>
      </w:r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complica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iile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bolile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transmitere</w:t>
      </w:r>
      <w:proofErr w:type="spellEnd"/>
      <w:r w:rsidR="00BE2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sexuală</w:t>
      </w:r>
      <w:proofErr w:type="spellEnd"/>
      <w:r w:rsidR="00DA4267" w:rsidRPr="00EC17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A4267" w:rsidRPr="00EC17F9" w:rsidRDefault="00DA4267" w:rsidP="00DA4267">
      <w:pPr>
        <w:pStyle w:val="Heading4"/>
        <w:spacing w:before="0" w:line="276" w:lineRule="auto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</w:pPr>
    </w:p>
    <w:p w:rsidR="00F34340" w:rsidRPr="00EC17F9" w:rsidRDefault="00F34340" w:rsidP="00DA4267">
      <w:pPr>
        <w:pStyle w:val="Heading4"/>
        <w:spacing w:before="0" w:line="276" w:lineRule="auto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</w:pP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Sănătatea</w:t>
      </w:r>
      <w:proofErr w:type="spellEnd"/>
      <w:r w:rsidR="0035085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reproducerii</w:t>
      </w:r>
      <w:proofErr w:type="spellEnd"/>
      <w:r w:rsidR="0035085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definită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ca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fiind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o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bună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stare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fizică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,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mentală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și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socială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și nu doar absența bolii sau a infirmității, în toate aspectele referitoare la sistemul reproducător și la funcțiile și procesele acestuia, se referă la faptul că oamenii sunt capabili să aibă o viață sexuală satisfăcătoare și sigură și că au capacitatea de a se reproduce și libertatea de a decide cu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privire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la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viața</w:t>
      </w:r>
      <w:proofErr w:type="spellEnd"/>
      <w:r w:rsidR="00276310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lor</w:t>
      </w:r>
      <w:proofErr w:type="spellEnd"/>
      <w:r w:rsidR="00276310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sexuală</w:t>
      </w:r>
      <w:proofErr w:type="spellEnd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. </w:t>
      </w:r>
    </w:p>
    <w:p w:rsidR="00DA4267" w:rsidRPr="00EC17F9" w:rsidRDefault="00DA4267" w:rsidP="00DA4267">
      <w:pPr>
        <w:tabs>
          <w:tab w:val="left" w:pos="66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388" w:rsidRPr="00EC17F9" w:rsidRDefault="00567388" w:rsidP="00350859">
      <w:pPr>
        <w:tabs>
          <w:tab w:val="left" w:pos="6696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17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2007-2017,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situează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r w:rsidRPr="00EC17F9">
        <w:rPr>
          <w:rFonts w:ascii="Times New Roman" w:hAnsi="Times New Roman" w:cs="Times New Roman"/>
          <w:sz w:val="24"/>
          <w:szCs w:val="24"/>
        </w:rPr>
        <w:t>loc</w:t>
      </w:r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7F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nașterilor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adolescente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proofErr w:type="gramStart"/>
      <w:r w:rsidRPr="00EC17F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complex, ale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consecințe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mama,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”-,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nașteri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premature,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limitează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comunități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lanț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emoțională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nascî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vulnerabil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="0027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C17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altă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parte,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mamele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minore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predispuse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nască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prematur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prematuritatea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rămâne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una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dintre</w:t>
      </w:r>
      <w:proofErr w:type="spellEnd"/>
      <w:r w:rsidR="002763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cauzele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 majore ale </w:t>
      </w:r>
      <w:proofErr w:type="spellStart"/>
      <w:r w:rsidRPr="00EC17F9">
        <w:rPr>
          <w:rFonts w:ascii="Times New Roman" w:hAnsi="Times New Roman" w:cs="Times New Roman"/>
          <w:sz w:val="24"/>
          <w:szCs w:val="24"/>
          <w:lang w:val="fr-FR"/>
        </w:rPr>
        <w:t>mortalită</w:t>
      </w:r>
      <w:proofErr w:type="spellEnd"/>
      <w:r w:rsidRPr="00EC17F9">
        <w:rPr>
          <w:rFonts w:ascii="Times New Roman" w:hAnsi="Times New Roman" w:cs="Times New Roman"/>
          <w:sz w:val="24"/>
          <w:szCs w:val="24"/>
          <w:lang w:val="fr-FR"/>
        </w:rPr>
        <w:t xml:space="preserve">ții infantile. </w:t>
      </w:r>
    </w:p>
    <w:p w:rsidR="00DA4267" w:rsidRPr="00EC17F9" w:rsidRDefault="00DA4267" w:rsidP="00350859">
      <w:pPr>
        <w:pStyle w:val="Heading4"/>
        <w:spacing w:before="0" w:line="276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</w:pPr>
    </w:p>
    <w:p w:rsidR="00F34340" w:rsidRPr="00EC17F9" w:rsidRDefault="00520F88" w:rsidP="00350859">
      <w:pPr>
        <w:pStyle w:val="Heading4"/>
        <w:spacing w:before="0" w:line="276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</w:pPr>
      <w:proofErr w:type="spellStart"/>
      <w:r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În</w:t>
      </w:r>
      <w:proofErr w:type="spellEnd"/>
      <w:r w:rsidRPr="00EC17F9">
        <w:rPr>
          <w:rFonts w:ascii="Times New Roman" w:hAnsi="Times New Roman" w:cs="Times New Roman"/>
          <w:b w:val="0"/>
          <w:i w:val="0"/>
          <w:color w:val="auto"/>
        </w:rPr>
        <w:t xml:space="preserve"> 2017 România era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pe</w:t>
      </w:r>
      <w:proofErr w:type="spellEnd"/>
      <w:r w:rsidR="0035085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primul</w:t>
      </w:r>
      <w:proofErr w:type="spellEnd"/>
      <w:r w:rsidR="0035085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loc</w:t>
      </w:r>
      <w:r w:rsidR="0035085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în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UE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în</w:t>
      </w:r>
      <w:proofErr w:type="spellEnd"/>
      <w:r w:rsidR="0035085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ce</w:t>
      </w:r>
      <w:proofErr w:type="spellEnd"/>
      <w:r w:rsidR="00E9079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priveşte</w:t>
      </w:r>
      <w:proofErr w:type="spellEnd"/>
      <w:r w:rsidR="00E9079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numărul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de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naşteri</w:t>
      </w:r>
      <w:proofErr w:type="spellEnd"/>
      <w:r w:rsidR="00E9079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înregistrate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la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adolescente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cu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vârste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sub 15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ani</w:t>
      </w:r>
      <w:proofErr w:type="gram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,</w:t>
      </w:r>
      <w:r w:rsidR="00B8713F"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reprezentând</w:t>
      </w:r>
      <w:proofErr w:type="spellEnd"/>
      <w:proofErr w:type="gramEnd"/>
      <w:r w:rsidR="00E9079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9</w:t>
      </w:r>
      <w:r w:rsidR="00742D9E"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,78</w:t>
      </w:r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% din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totalul</w:t>
      </w:r>
      <w:proofErr w:type="spellEnd"/>
      <w:r w:rsidR="00E9079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naşterilor</w:t>
      </w:r>
      <w:proofErr w:type="spellEnd"/>
      <w:r w:rsidRPr="00EC17F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, conform </w:t>
      </w:r>
      <w:r w:rsidRPr="00EC17F9">
        <w:rPr>
          <w:rFonts w:ascii="Times New Roman" w:hAnsi="Times New Roman" w:cs="Times New Roman"/>
          <w:b w:val="0"/>
          <w:i w:val="0"/>
          <w:color w:val="auto"/>
        </w:rPr>
        <w:t>datelor Euro</w:t>
      </w:r>
      <w:r w:rsidR="007F1310" w:rsidRPr="00EC17F9">
        <w:rPr>
          <w:rFonts w:ascii="Times New Roman" w:hAnsi="Times New Roman" w:cs="Times New Roman"/>
          <w:b w:val="0"/>
          <w:i w:val="0"/>
          <w:color w:val="auto"/>
        </w:rPr>
        <w:t>stat</w:t>
      </w:r>
      <w:r w:rsidR="005940E2" w:rsidRPr="00EC17F9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Comparativ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cu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anul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2017,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în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2018</w:t>
      </w:r>
      <w:r w:rsidR="000472B2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,</w:t>
      </w:r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a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crescut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numărul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și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ponderea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gravidelor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cu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vârsta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sub 15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ani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,  o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grupă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de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vârstă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de  mare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risc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pentru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mamă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şi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copil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, </w:t>
      </w:r>
      <w:r w:rsidR="000472B2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care </w:t>
      </w:r>
      <w:proofErr w:type="spellStart"/>
      <w:r w:rsidR="000472B2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necesită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monitorizarea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lor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pe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întreaga</w:t>
      </w:r>
      <w:proofErr w:type="spellEnd"/>
      <w:r w:rsidR="00E9079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perioadă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 xml:space="preserve"> a </w:t>
      </w:r>
      <w:proofErr w:type="spellStart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sarcinii</w:t>
      </w:r>
      <w:proofErr w:type="spellEnd"/>
      <w:r w:rsidR="00F34340" w:rsidRPr="00EC17F9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lang w:val="en-US" w:eastAsia="en-US"/>
        </w:rPr>
        <w:t>.</w:t>
      </w:r>
    </w:p>
    <w:p w:rsidR="00380EDC" w:rsidRPr="00EC17F9" w:rsidRDefault="00380EDC" w:rsidP="00350859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350859" w:rsidRPr="00EC17F9" w:rsidRDefault="003508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350859" w:rsidRPr="00EC17F9" w:rsidSect="00DA426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18C4"/>
    <w:multiLevelType w:val="hybridMultilevel"/>
    <w:tmpl w:val="B5482AAE"/>
    <w:lvl w:ilvl="0" w:tplc="C8BC75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684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C50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2F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C07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8CE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45C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C29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275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F4655C"/>
    <w:multiLevelType w:val="hybridMultilevel"/>
    <w:tmpl w:val="A8F8A9DC"/>
    <w:lvl w:ilvl="0" w:tplc="FAFC24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EE0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025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A48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E4E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265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47F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C4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A0E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9C16BE"/>
    <w:rsid w:val="00014911"/>
    <w:rsid w:val="000472B2"/>
    <w:rsid w:val="00077178"/>
    <w:rsid w:val="00276310"/>
    <w:rsid w:val="002A603B"/>
    <w:rsid w:val="00350859"/>
    <w:rsid w:val="00380EDC"/>
    <w:rsid w:val="00520F88"/>
    <w:rsid w:val="005405AF"/>
    <w:rsid w:val="00567388"/>
    <w:rsid w:val="00582617"/>
    <w:rsid w:val="005940E2"/>
    <w:rsid w:val="005C11F4"/>
    <w:rsid w:val="006E6C4A"/>
    <w:rsid w:val="00706E80"/>
    <w:rsid w:val="00742D9E"/>
    <w:rsid w:val="00790F1C"/>
    <w:rsid w:val="007E45AD"/>
    <w:rsid w:val="007F1310"/>
    <w:rsid w:val="007F202E"/>
    <w:rsid w:val="00944199"/>
    <w:rsid w:val="00947AC8"/>
    <w:rsid w:val="009568A8"/>
    <w:rsid w:val="00984349"/>
    <w:rsid w:val="009C16BE"/>
    <w:rsid w:val="00A32C87"/>
    <w:rsid w:val="00AF6268"/>
    <w:rsid w:val="00B30A57"/>
    <w:rsid w:val="00B8713F"/>
    <w:rsid w:val="00BE2F28"/>
    <w:rsid w:val="00BF5C6C"/>
    <w:rsid w:val="00C24825"/>
    <w:rsid w:val="00CB3CFC"/>
    <w:rsid w:val="00D055BD"/>
    <w:rsid w:val="00D375A1"/>
    <w:rsid w:val="00D37F5D"/>
    <w:rsid w:val="00D87D07"/>
    <w:rsid w:val="00DA4267"/>
    <w:rsid w:val="00E155BC"/>
    <w:rsid w:val="00E841E4"/>
    <w:rsid w:val="00E90795"/>
    <w:rsid w:val="00EC17F9"/>
    <w:rsid w:val="00F04EFD"/>
    <w:rsid w:val="00F072C0"/>
    <w:rsid w:val="00F20681"/>
    <w:rsid w:val="00F3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4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C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6C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5C6C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2020-01-16T07:42:00Z</dcterms:created>
  <dcterms:modified xsi:type="dcterms:W3CDTF">2020-02-11T12:06:00Z</dcterms:modified>
</cp:coreProperties>
</file>